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Calibri" w:cs="Times New Roman"/>
          <w:sz w:val="28"/>
          <w:szCs w:val="28"/>
        </w:rPr>
        <w:t>Министерство образования и науки Российской Федерации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Федеральное государственное бюджетное 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образовательное учреждение высшего образования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«ДОНСКОЙ ГОСУДАРСТВЕННЫЙ ТЕХНИЧЕСКИЙ УНИВЕРСИТЕТ»</w:t>
      </w:r>
    </w:p>
    <w:p>
      <w:pPr>
        <w:spacing w:after="0" w:line="360" w:lineRule="auto"/>
        <w:ind w:left="426" w:firstLine="283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Кафедра «Эксплуатация транспортных систем и логистика»</w:t>
      </w: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40"/>
          <w:szCs w:val="40"/>
          <w:lang w:eastAsia="ru-RU"/>
        </w:rPr>
      </w:pPr>
      <w:r>
        <w:rPr>
          <w:rFonts w:ascii="Times New Roman" w:hAnsi="Times New Roman" w:eastAsia="Times New Roman" w:cs="Times New Roman"/>
          <w:b/>
          <w:sz w:val="40"/>
          <w:szCs w:val="40"/>
          <w:lang w:eastAsia="ru-RU"/>
        </w:rPr>
        <w:t>Методические указания для выполнения контрольных работ по дисциплине</w:t>
      </w: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40"/>
          <w:szCs w:val="40"/>
          <w:lang w:eastAsia="ru-RU"/>
        </w:rPr>
        <w:t>«Транспортные системы»</w:t>
      </w: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32"/>
          <w:szCs w:val="32"/>
        </w:rPr>
      </w:pPr>
      <w:r>
        <w:rPr>
          <w:rFonts w:ascii="Times New Roman" w:hAnsi="Times New Roman" w:eastAsia="Calibri" w:cs="Times New Roman"/>
          <w:sz w:val="32"/>
          <w:szCs w:val="32"/>
        </w:rPr>
        <w:t>Контрольные задания</w:t>
      </w: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ОПОП Эксплуатация транспортно-технологических машин и комплексов</w:t>
      </w:r>
    </w:p>
    <w:p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23.04.03 Эксплуатация и ремонт автотранспортных средств</w:t>
      </w:r>
    </w:p>
    <w:p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«Эксплуатация транспортных систем и логистика»</w:t>
      </w: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Форма освоения ООП: заочная</w:t>
      </w: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Ростов – на – Дону</w:t>
      </w:r>
    </w:p>
    <w:p>
      <w:pPr>
        <w:spacing w:after="0" w:line="360" w:lineRule="auto"/>
        <w:ind w:left="709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2023</w:t>
      </w:r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Методические указания содержат общие требования к содержанию и задания к контрольной работе по дисциплине «Транспортные системы», необходимые пояснения для его выполнения и предназначены для магистрантов очной и заочной формы обучения направления 23.04.01 Эксплуатация транспортно-технологических машин и комплексов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Контрольная работа  включает в себя: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1. Письменные ответы на четыре любых вопроса из перечня вопросов к экзамену.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Транспортные системы РФ, основные направления развития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формирования транспортных потоков, факторы перемещения предмета перевозки в пространстве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Транспортная система и транспортный процесс. Технология и организация транспортного производства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Системные свойства транспорта. Транспортные системы и их характеристики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Физические компоненты транспорта. Характеристики и взаимодействие элементов системы транспортного процесса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 функционирования и управления транспортным процессом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Транспортный комплекс страны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автомобильного транспорта, е особенности и место в транспортном комплексе страны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 значение транспорта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факторы перемещения предмета перевозок в пространстве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Транспортный процесс и его системы. Физические компоненты транспорта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Системные свойства транспорта. Транспортные системы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Организационно-производственные структуры и управление транспортом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системы автомобильного транспорта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Транспортный процесс и его системы. Условия функционирования транспорта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Системные свойства транспорта. Производственно- транспортные системы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Производительность транспортных средств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Транспортная система города</w:t>
      </w:r>
    </w:p>
    <w:p>
      <w:pPr>
        <w:pStyle w:val="5"/>
        <w:numPr>
          <w:ilvl w:val="0"/>
          <w:numId w:val="1"/>
        </w:num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Планирование городской транспортной системы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Экономика городской транспортной системы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Мобильность транспортной системы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Эффективность функционирования и совершенствование транспортной системы города в рамках устойчивого развития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Транспортная ситуация в российских городах 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Нормативно-правовое обеспечение развития городского транспорта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Воздействие городского транспорта на окружающую среду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 и обустройство общегородских систем уличной парковки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Инвестирование немоторизированных видов транспорта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Удовлетворенность потребителей услуг общественного городского транспорта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Удовлетворенность потребителей уличной дорожной сетью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регулирования отношений между городом и перевозчиками</w:t>
      </w:r>
    </w:p>
    <w:p>
      <w:pPr>
        <w:pStyle w:val="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тарифного регулирования городского общественного транспорта</w:t>
      </w:r>
    </w:p>
    <w:p>
      <w:pPr>
        <w:pStyle w:val="5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Проблемы соотношения личный-общественный транспорт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 Написание четырех рефератов на любые темы из перечня тем: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и структура транспортной системы. 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 работы по видам транспорта.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Национальные и зональные транспортные системы. 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Пространственная структура транспортной системы. 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>Принципы формирования маршрутной транспортной сети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>Цели и инструменты транспортной политики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>Базовые сегменты городской транспортной системы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>Типология городских транспортных систем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>Транспортное планирование в градостроительной деятельности.</w:t>
      </w:r>
    </w:p>
    <w:p>
      <w:pPr>
        <w:pStyle w:val="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Мировой и отечественный опыт формирования городских транспортных систем. </w:t>
      </w:r>
    </w:p>
    <w:p>
      <w:pPr>
        <w:pStyle w:val="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Варианты транспортных систем для характерных типов городов. </w:t>
      </w:r>
    </w:p>
    <w:p>
      <w:pPr>
        <w:pStyle w:val="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 Основы экономики городского транспорта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rFonts w:eastAsia="MS Mincho"/>
          <w:iCs/>
          <w:sz w:val="24"/>
          <w:szCs w:val="24"/>
          <w:shd w:val="clear" w:color="auto" w:fill="FFFFFF"/>
        </w:rPr>
        <w:t xml:space="preserve"> Характеристики транспортного спроса и предложения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rFonts w:eastAsia="MS Mincho"/>
          <w:iCs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 xml:space="preserve">Организационно-финансовые отношения города и перевозочных компаний. 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Современные механизмы финансирования транспортной инфраструктуры. 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</w:t>
      </w:r>
      <w:r>
        <w:rPr>
          <w:color w:val="333333"/>
          <w:sz w:val="24"/>
          <w:szCs w:val="24"/>
          <w:shd w:val="clear" w:color="auto" w:fill="FEFEFE"/>
        </w:rPr>
        <w:t>Сущность понятия «мобильность транспортной системы города».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EFEFE"/>
        </w:rPr>
        <w:t xml:space="preserve"> Критерии и факторы оценки мобильности городского транспорта. 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EFEFE"/>
        </w:rPr>
        <w:t xml:space="preserve"> Сбалансированность развития транспорта и пространственной застройки города. 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EFEFE"/>
        </w:rPr>
        <w:t xml:space="preserve"> </w:t>
      </w:r>
      <w:r>
        <w:rPr>
          <w:rFonts w:eastAsia="MS Mincho"/>
          <w:iCs/>
          <w:sz w:val="24"/>
          <w:szCs w:val="24"/>
          <w:shd w:val="clear" w:color="auto" w:fill="FFFFFF"/>
        </w:rPr>
        <w:t xml:space="preserve">Методы </w:t>
      </w:r>
      <w:r>
        <w:rPr>
          <w:sz w:val="24"/>
          <w:szCs w:val="24"/>
        </w:rPr>
        <w:t>обследования пассажиропотоков в городах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Расчет транспортных корреспонденций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Гистограммы интенсивности</w:t>
      </w:r>
    </w:p>
    <w:p>
      <w:pPr>
        <w:pStyle w:val="7"/>
        <w:numPr>
          <w:ilvl w:val="0"/>
          <w:numId w:val="2"/>
        </w:numPr>
        <w:shd w:val="clear" w:color="auto" w:fill="auto"/>
        <w:spacing w:after="0" w:line="240" w:lineRule="auto"/>
        <w:rPr>
          <w:rFonts w:eastAsia="MS Mincho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Особенности внедрения ограничительных мер. </w:t>
      </w:r>
    </w:p>
    <w:p>
      <w:pPr>
        <w:pStyle w:val="5"/>
        <w:numPr>
          <w:ilvl w:val="0"/>
          <w:numId w:val="2"/>
        </w:num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Роль общественных отношений в решении транспортных проблем.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Рекомендации по подготовке реферата 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дисциплины «Транспортные системы»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20"/>
          <w:szCs w:val="20"/>
          <w:shd w:val="clear" w:color="auto" w:fill="FFFFFF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содержание реферата обязательно входит: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содержание;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введение;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главы реферата;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заключение;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–список использованных источников, содержащий не менее 10 наименований.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Общий объем реферата должен составлять примерно 20–25 машинописных страниц, формат листа – А-4 (210 × 297), набранных 14 шрифтом «Times New Roman» через один интервал с полями сверху и снизу по 25 мм, справа 15 мм и слева 30 мм, выравнивание текста осуществляется по краям.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Пример оформления титульного листа реферата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drawing>
          <wp:inline distT="0" distB="0" distL="0" distR="0">
            <wp:extent cx="625475" cy="6832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547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120" w:line="240" w:lineRule="auto"/>
        <w:ind w:hanging="54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РОССИЙСКОЙ ФЕДЕРАЦИИ</w:t>
      </w:r>
    </w:p>
    <w:p>
      <w:pPr>
        <w:spacing w:after="120" w:line="240" w:lineRule="auto"/>
        <w:ind w:right="-6" w:hanging="54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«ДОНСКОЙ ГОСУДАРСТВЕННЫЙ ТЕХНИЧЕСКИЙ УНИВЕРСИТЕТ»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Факультет «Транспорт, сервис и эксплуатация»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Кафедра «Эксплуатация транспортных систем и логистика»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Реферат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 дисциплине: «Транспортные системы»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тему: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«…»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Выполнил: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Студент группы _____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Фамилия И.О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Проверил: звание, должность, ФИО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преподавателя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Ростов-на-Дону</w:t>
      </w:r>
    </w:p>
    <w:p>
      <w:pPr>
        <w:tabs>
          <w:tab w:val="left" w:pos="603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2023 г.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31F6"/>
    <w:multiLevelType w:val="multilevel"/>
    <w:tmpl w:val="09A531F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F0B14"/>
    <w:multiLevelType w:val="multilevel"/>
    <w:tmpl w:val="2BFF0B14"/>
    <w:lvl w:ilvl="0" w:tentative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421749"/>
    <w:rsid w:val="00190F7A"/>
    <w:rsid w:val="001D01C5"/>
    <w:rsid w:val="001D5B1E"/>
    <w:rsid w:val="00334037"/>
    <w:rsid w:val="003A0197"/>
    <w:rsid w:val="00421749"/>
    <w:rsid w:val="004403A1"/>
    <w:rsid w:val="004840F6"/>
    <w:rsid w:val="00646B4A"/>
    <w:rsid w:val="006A2444"/>
    <w:rsid w:val="00706546"/>
    <w:rsid w:val="007F2077"/>
    <w:rsid w:val="00852641"/>
    <w:rsid w:val="009066AE"/>
    <w:rsid w:val="00911501"/>
    <w:rsid w:val="00A05173"/>
    <w:rsid w:val="00B761B8"/>
    <w:rsid w:val="00D22451"/>
    <w:rsid w:val="00E40DC4"/>
    <w:rsid w:val="00F46ADA"/>
    <w:rsid w:val="4F8345D5"/>
    <w:rsid w:val="51A6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  <w:style w:type="paragraph" w:customStyle="1" w:styleId="7">
    <w:name w:val="Основной текст4"/>
    <w:basedOn w:val="1"/>
    <w:uiPriority w:val="0"/>
    <w:pPr>
      <w:shd w:val="clear" w:color="auto" w:fill="FFFFFF"/>
      <w:spacing w:after="240" w:line="319" w:lineRule="exact"/>
      <w:jc w:val="both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customStyle="1" w:styleId="8">
    <w:name w:val="p32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853</Words>
  <Characters>4863</Characters>
  <Lines>40</Lines>
  <Paragraphs>11</Paragraphs>
  <TotalTime>37</TotalTime>
  <ScaleCrop>false</ScaleCrop>
  <LinksUpToDate>false</LinksUpToDate>
  <CharactersWithSpaces>5705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2017-11-05T18:38:00Z</dcterms:created>
  <dc:creator>а</dc:creator>
  <cp:lastModifiedBy>Kingsoft Corporation</cp:lastModifiedBy>
  <dcterms:modified xsi:type="dcterms:W3CDTF">2023-10-25T09:58:26Z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